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8B2532">
        <w:rPr>
          <w:rFonts w:ascii="Arial Narrow" w:hAnsi="Arial Narrow"/>
          <w:i/>
          <w:sz w:val="20"/>
          <w:szCs w:val="20"/>
        </w:rPr>
        <w:t>C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76FDE" w:rsidRPr="00E76FDE" w:rsidRDefault="008B2532" w:rsidP="008B253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 pracodawcy o niekorzystaniu w latach 2017-2019 ze środków Krajowego Funduszu Szkoleniowego</w:t>
      </w:r>
      <w:r w:rsidR="00E76FDE"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="00E76FDE"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76FDE" w:rsidRDefault="00E76FDE" w:rsidP="008B2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532">
        <w:t>Dotyczy tylko tych pracodawców, którzy starają się o środki KFS w ramach Priorytetu E rezerwy.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2532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849B-5C08-40D0-98CD-6B32424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2019-02-04T09:14:00Z</cp:lastPrinted>
  <dcterms:created xsi:type="dcterms:W3CDTF">2020-01-15T12:08:00Z</dcterms:created>
  <dcterms:modified xsi:type="dcterms:W3CDTF">2020-01-15T12:08:00Z</dcterms:modified>
</cp:coreProperties>
</file>